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cs="Times New Roman" w:eastAsiaTheme="majorEastAsia"/>
          <w:b/>
          <w:sz w:val="28"/>
          <w:szCs w:val="28"/>
        </w:rPr>
      </w:pPr>
      <w:bookmarkStart w:id="0" w:name="_GoBack"/>
      <w:bookmarkEnd w:id="0"/>
    </w:p>
    <w:p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pacing w:val="-27"/>
          <w:sz w:val="28"/>
          <w:szCs w:val="28"/>
        </w:rPr>
        <w:t>附件 1</w:t>
      </w:r>
      <w:r>
        <w:rPr>
          <w:rFonts w:hint="eastAsia" w:ascii="Times New Roman" w:hAnsi="Times New Roman" w:eastAsia="黑体" w:cs="Times New Roman"/>
          <w:spacing w:val="-27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江苏省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护理学会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泌尿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外科护理微课大赛评分标准</w:t>
      </w:r>
    </w:p>
    <w:p>
      <w:pPr>
        <w:jc w:val="center"/>
        <w:rPr>
          <w:rFonts w:ascii="Times New Roman" w:hAnsi="Times New Roman" w:cs="Times New Roman" w:eastAsiaTheme="majorEastAsia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 w:eastAsiaTheme="majorEastAsia"/>
          <w:b/>
          <w:sz w:val="36"/>
          <w:szCs w:val="36"/>
        </w:rPr>
        <w:sectPr>
          <w:type w:val="continuous"/>
          <w:pgSz w:w="11910" w:h="16840"/>
          <w:pgMar w:top="1480" w:right="980" w:bottom="280" w:left="1200" w:header="720" w:footer="720" w:gutter="0"/>
          <w:cols w:space="720" w:num="1"/>
        </w:sectPr>
      </w:pPr>
    </w:p>
    <w:tbl>
      <w:tblPr>
        <w:tblStyle w:val="8"/>
        <w:tblpPr w:leftFromText="180" w:rightFromText="180" w:vertAnchor="page" w:horzAnchor="page" w:tblpX="1364" w:tblpY="3261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296"/>
        <w:gridCol w:w="5263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09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spacing w:val="-27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27"/>
                <w:sz w:val="28"/>
                <w:szCs w:val="28"/>
                <w:lang w:eastAsia="zh-CN"/>
              </w:rPr>
              <w:t>一级指标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spacing w:val="-27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27"/>
                <w:sz w:val="28"/>
                <w:szCs w:val="28"/>
                <w:lang w:eastAsia="zh-CN"/>
              </w:rPr>
              <w:t>二级指标</w:t>
            </w:r>
          </w:p>
        </w:tc>
        <w:tc>
          <w:tcPr>
            <w:tcW w:w="5263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spacing w:val="-27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27"/>
                <w:sz w:val="28"/>
                <w:szCs w:val="28"/>
                <w:lang w:eastAsia="zh-CN"/>
              </w:rPr>
              <w:t>指标要求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spacing w:val="-27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27"/>
                <w:sz w:val="28"/>
                <w:szCs w:val="28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09" w:type="dxa"/>
            <w:vMerge w:val="restart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作品规范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结构完整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  <w:vAlign w:val="top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具有独立性和完整性，包含微课视频。</w:t>
            </w:r>
          </w:p>
        </w:tc>
        <w:tc>
          <w:tcPr>
            <w:tcW w:w="1291" w:type="dxa"/>
            <w:vAlign w:val="top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讲者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风采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教学语言规范，清晰，富有感染力，如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讲者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出镜，则需仪表得当，教态自然，能展现良好的教学风貌和个人魅力。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技术要求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微视频：时长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分钟，大小不超过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8"/>
                <w:szCs w:val="28"/>
              </w:rPr>
              <w:t>200M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；视频图像清晰稳定，主要环节有字幕提示；视频片头应显示标题，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者。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09" w:type="dxa"/>
            <w:vMerge w:val="restart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选题价值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选题简明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选题为针对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泌尿外科护理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的一个知识点，宜“小而精”而非“大而泛”，具备独立性、完整性、示范性。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重点突出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能突出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临床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常见、典型、有代表性的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护理知识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，内容能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完整精确讲解护理中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的重点和难点。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09" w:type="dxa"/>
            <w:vMerge w:val="restart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讲课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内容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内容科学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内容严谨科学，无政策性错误，能反映社会和学科发展。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逻辑清晰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讲解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过程中主线清晰，重点突出，逻辑性强，明了易懂。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Times New Roman" w:hAnsi="Times New Roman" w:cs="Times New Roman" w:eastAsiaTheme="majorEastAsia"/>
                <w:spacing w:val="-27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09" w:type="dxa"/>
            <w:vMerge w:val="restart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讲课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效果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形式新颖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构思新颖，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讲课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方法富有创意，不拘泥于传统的模式。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趣味性强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讲课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过程深入浅出，形象生动，精彩有趣，启发引导性强，有利于提升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听者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学习的积极性和主动性。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Times New Roman" w:hAnsi="Times New Roman" w:cs="Times New Roman" w:eastAsiaTheme="majorEastAsia"/>
                <w:spacing w:val="-27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目标达成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完成设定的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讲课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目标，有效解决实际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护理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问题，促进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听者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思维的提升和能力的提高。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</w:tbl>
    <w:p>
      <w:pPr>
        <w:pStyle w:val="4"/>
        <w:spacing w:before="8"/>
        <w:rPr>
          <w:rFonts w:ascii="Times New Roman" w:hAnsi="Times New Roman" w:cs="Times New Roman" w:eastAsiaTheme="majorEastAsia"/>
          <w:sz w:val="28"/>
          <w:szCs w:val="28"/>
        </w:rPr>
      </w:pPr>
    </w:p>
    <w:sectPr>
      <w:type w:val="continuous"/>
      <w:pgSz w:w="11910" w:h="16840"/>
      <w:pgMar w:top="1480" w:right="980" w:bottom="280" w:left="1200" w:header="720" w:footer="720" w:gutter="0"/>
      <w:cols w:equalWidth="0" w:num="2">
        <w:col w:w="1456" w:space="190"/>
        <w:col w:w="8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66A058A-26A7-491E-A07F-72B653C5EEC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B517925-CFAA-4A1D-B9AC-D6B2099D9E5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6CD02D4-5A9A-42CE-96DF-BEB23B6DBA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2"/>
  </w:compat>
  <w:docVars>
    <w:docVar w:name="commondata" w:val="eyJoZGlkIjoiMzkzNGViZTM0M2RiNWRmOWZmZTdkNmU0MjNjMzhjM2YifQ=="/>
  </w:docVars>
  <w:rsids>
    <w:rsidRoot w:val="000C0411"/>
    <w:rsid w:val="0008120A"/>
    <w:rsid w:val="000C0411"/>
    <w:rsid w:val="000F199A"/>
    <w:rsid w:val="00134BCB"/>
    <w:rsid w:val="00165122"/>
    <w:rsid w:val="001D1416"/>
    <w:rsid w:val="001D17FD"/>
    <w:rsid w:val="00205300"/>
    <w:rsid w:val="0024496A"/>
    <w:rsid w:val="00251EB3"/>
    <w:rsid w:val="002B7A1B"/>
    <w:rsid w:val="002D1ECD"/>
    <w:rsid w:val="002D4D13"/>
    <w:rsid w:val="002E02EA"/>
    <w:rsid w:val="003A6608"/>
    <w:rsid w:val="004866B6"/>
    <w:rsid w:val="00490BC8"/>
    <w:rsid w:val="00491515"/>
    <w:rsid w:val="00556346"/>
    <w:rsid w:val="00566D23"/>
    <w:rsid w:val="00582A93"/>
    <w:rsid w:val="005870DE"/>
    <w:rsid w:val="006378DD"/>
    <w:rsid w:val="00644D71"/>
    <w:rsid w:val="00654505"/>
    <w:rsid w:val="00662926"/>
    <w:rsid w:val="00691BEB"/>
    <w:rsid w:val="007645E0"/>
    <w:rsid w:val="0079286F"/>
    <w:rsid w:val="007B26F5"/>
    <w:rsid w:val="00842C0E"/>
    <w:rsid w:val="0085484D"/>
    <w:rsid w:val="00987067"/>
    <w:rsid w:val="009B0A1F"/>
    <w:rsid w:val="00A50EAA"/>
    <w:rsid w:val="00B12469"/>
    <w:rsid w:val="00B15ABB"/>
    <w:rsid w:val="00B53D47"/>
    <w:rsid w:val="00B907A1"/>
    <w:rsid w:val="00C269CC"/>
    <w:rsid w:val="00C35148"/>
    <w:rsid w:val="00C64D2F"/>
    <w:rsid w:val="00C7333C"/>
    <w:rsid w:val="00CF4AD8"/>
    <w:rsid w:val="00D24D7A"/>
    <w:rsid w:val="00D4481E"/>
    <w:rsid w:val="00D92254"/>
    <w:rsid w:val="00DA7034"/>
    <w:rsid w:val="00E2507F"/>
    <w:rsid w:val="00E269AD"/>
    <w:rsid w:val="00E53EA7"/>
    <w:rsid w:val="00E86888"/>
    <w:rsid w:val="00EF7EB4"/>
    <w:rsid w:val="00FC66C6"/>
    <w:rsid w:val="04A0073F"/>
    <w:rsid w:val="04CA47D7"/>
    <w:rsid w:val="08B52DEA"/>
    <w:rsid w:val="0A914CAD"/>
    <w:rsid w:val="0F133C04"/>
    <w:rsid w:val="23602698"/>
    <w:rsid w:val="2D2C38B9"/>
    <w:rsid w:val="3452586E"/>
    <w:rsid w:val="366E5C43"/>
    <w:rsid w:val="48DD51B6"/>
    <w:rsid w:val="4D3D5FF4"/>
    <w:rsid w:val="526801A7"/>
    <w:rsid w:val="52E20C6E"/>
    <w:rsid w:val="58612DB0"/>
    <w:rsid w:val="5B97277E"/>
    <w:rsid w:val="60711308"/>
    <w:rsid w:val="6BA31D22"/>
    <w:rsid w:val="74DF5AED"/>
    <w:rsid w:val="79AF656F"/>
    <w:rsid w:val="7D5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63" w:lineRule="exact"/>
      <w:ind w:left="1431" w:right="1171"/>
      <w:jc w:val="center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216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215" w:right="433" w:firstLine="64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9"/>
    <w:link w:val="6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6">
    <w:name w:val="页脚 字符"/>
    <w:basedOn w:val="9"/>
    <w:link w:val="5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508</Words>
  <Characters>526</Characters>
  <Lines>4</Lines>
  <Paragraphs>1</Paragraphs>
  <TotalTime>7</TotalTime>
  <ScaleCrop>false</ScaleCrop>
  <LinksUpToDate>false</LinksUpToDate>
  <CharactersWithSpaces>527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2019-06-19T13:57:00Z</dcterms:created>
  <dc:creator>liying060722@163.com</dc:creator>
  <cp:lastModifiedBy>我心，我成，我是王。</cp:lastModifiedBy>
  <cp:lastPrinted>2019-09-04T07:28:00Z</cp:lastPrinted>
  <dcterms:modified xsi:type="dcterms:W3CDTF">2023-07-24T02:26:26Z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2019-06-19T00:00:00Z</vt:filetime>
  </property>
  <property fmtid="{D5CDD505-2E9C-101B-9397-08002B2CF9AE}" pid="5" name="KSOProductBuildVer">
    <vt:lpwstr>2052-12.1.0.15120</vt:lpwstr>
  </property>
  <property fmtid="{D5CDD505-2E9C-101B-9397-08002B2CF9AE}" pid="6" name="ICV">
    <vt:lpwstr>7288D23314DC472F9AEA116DFB3FBAE7</vt:lpwstr>
  </property>
</Properties>
</file>